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134" w:right="-1134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7652931" cy="10699200"/>
            <wp:effectExtent b="0" l="0" r="0" t="0"/>
            <wp:docPr descr="Immagine che contiene testo, schermata, linea, Parallelo&#10;&#10;Il contenuto generato dall'IA potrebbe non essere corretto." id="4" name="image4.png"/>
            <a:graphic>
              <a:graphicData uri="http://schemas.openxmlformats.org/drawingml/2006/picture">
                <pic:pic>
                  <pic:nvPicPr>
                    <pic:cNvPr descr="Immagine che contiene testo, schermata, linea, Parallelo&#10;&#10;Il contenuto generato dall'IA potrebbe non essere corretto.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tabs>
          <w:tab w:val="center" w:leader="none" w:pos="4816"/>
          <w:tab w:val="left" w:leader="none" w:pos="8445"/>
        </w:tabs>
        <w:spacing w:line="259" w:lineRule="auto"/>
        <w:jc w:val="center"/>
        <w:rPr>
          <w:rFonts w:ascii="Titillium Web" w:cs="Titillium Web" w:eastAsia="Titillium Web" w:hAnsi="Titillium Web"/>
          <w:b w:val="1"/>
          <w:color w:val="595959"/>
          <w:sz w:val="44"/>
          <w:szCs w:val="44"/>
        </w:rPr>
      </w:pPr>
      <w:r w:rsidDel="00000000" w:rsidR="00000000" w:rsidRPr="00000000">
        <w:rPr/>
        <w:drawing>
          <wp:inline distB="0" distT="0" distL="0" distR="0">
            <wp:extent cx="990600" cy="990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14604</wp:posOffset>
                </wp:positionV>
                <wp:extent cx="2401038" cy="766916"/>
                <wp:effectExtent b="33655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14604</wp:posOffset>
                </wp:positionV>
                <wp:extent cx="2401038" cy="800571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038" cy="8005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1"/>
        <w:keepLines w:val="1"/>
        <w:spacing w:line="259" w:lineRule="auto"/>
        <w:jc w:val="center"/>
        <w:rPr>
          <w:rFonts w:ascii="Titillium Web" w:cs="Titillium Web" w:eastAsia="Titillium Web" w:hAnsi="Titillium Web"/>
          <w:b w:val="1"/>
          <w:color w:val="5f497a"/>
          <w:sz w:val="44"/>
          <w:szCs w:val="44"/>
        </w:rPr>
      </w:pPr>
      <w:r w:rsidDel="00000000" w:rsidR="00000000" w:rsidRPr="00000000">
        <w:rPr>
          <w:rFonts w:ascii="Titillium Web" w:cs="Titillium Web" w:eastAsia="Titillium Web" w:hAnsi="Titillium Web"/>
          <w:b w:val="1"/>
          <w:color w:val="5f497a"/>
          <w:sz w:val="44"/>
          <w:szCs w:val="44"/>
          <w:rtl w:val="0"/>
        </w:rPr>
        <w:t xml:space="preserve">Bilancio iniziale delle competenze</w:t>
      </w:r>
    </w:p>
    <w:p w:rsidR="00000000" w:rsidDel="00000000" w:rsidP="00000000" w:rsidRDefault="00000000" w:rsidRPr="00000000" w14:paraId="00000006">
      <w:pPr>
        <w:keepNext w:val="1"/>
        <w:keepLines w:val="1"/>
        <w:spacing w:line="259" w:lineRule="auto"/>
        <w:jc w:val="center"/>
        <w:rPr>
          <w:rFonts w:ascii="Titillium Web" w:cs="Titillium Web" w:eastAsia="Titillium Web" w:hAnsi="Titillium Web"/>
          <w:b w:val="1"/>
          <w:color w:val="5f497a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spacing w:before="240" w:line="259" w:lineRule="auto"/>
        <w:jc w:val="center"/>
        <w:rPr>
          <w:rFonts w:ascii="Titillium Web" w:cs="Titillium Web" w:eastAsia="Titillium Web" w:hAnsi="Titillium Web"/>
          <w:color w:val="2e74b5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rFonts w:ascii="Titillium Web" w:cs="Titillium Web" w:eastAsia="Titillium Web" w:hAnsi="Titillium Web"/>
          <w:sz w:val="22"/>
          <w:szCs w:val="22"/>
        </w:rPr>
      </w:pPr>
      <w:r w:rsidDel="00000000" w:rsidR="00000000" w:rsidRPr="00000000">
        <w:rPr>
          <w:rFonts w:ascii="Titillium Web" w:cs="Titillium Web" w:eastAsia="Titillium Web" w:hAnsi="Titillium Web"/>
          <w:sz w:val="22"/>
          <w:szCs w:val="22"/>
          <w:rtl w:val="0"/>
        </w:rPr>
        <w:t xml:space="preserve">Nome </w:t>
      </w:r>
      <w:r w:rsidDel="00000000" w:rsidR="00000000" w:rsidRPr="00000000">
        <w:rPr>
          <w:rFonts w:ascii="Titillium Web" w:cs="Titillium Web" w:eastAsia="Titillium Web" w:hAnsi="Titillium Web"/>
          <w:color w:val="a6a6a6"/>
          <w:rtl w:val="0"/>
        </w:rPr>
        <w:t xml:space="preserve">............................................................................</w:t>
      </w:r>
      <w:r w:rsidDel="00000000" w:rsidR="00000000" w:rsidRPr="00000000">
        <w:rPr>
          <w:rFonts w:ascii="Titillium Web" w:cs="Titillium Web" w:eastAsia="Titillium Web" w:hAnsi="Titillium Web"/>
          <w:rtl w:val="0"/>
        </w:rPr>
        <w:t xml:space="preserve"> </w:t>
      </w:r>
      <w:r w:rsidDel="00000000" w:rsidR="00000000" w:rsidRPr="00000000">
        <w:rPr>
          <w:rFonts w:ascii="Titillium Web" w:cs="Titillium Web" w:eastAsia="Titillium Web" w:hAnsi="Titillium Web"/>
          <w:sz w:val="22"/>
          <w:szCs w:val="22"/>
          <w:rtl w:val="0"/>
        </w:rPr>
        <w:t xml:space="preserve"> Cognome </w:t>
      </w:r>
      <w:r w:rsidDel="00000000" w:rsidR="00000000" w:rsidRPr="00000000">
        <w:rPr>
          <w:rFonts w:ascii="Titillium Web" w:cs="Titillium Web" w:eastAsia="Titillium Web" w:hAnsi="Titillium Web"/>
          <w:color w:val="a6a6a6"/>
          <w:rtl w:val="0"/>
        </w:rPr>
        <w:t xml:space="preserve">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>
          <w:rFonts w:ascii="Titillium Web" w:cs="Titillium Web" w:eastAsia="Titillium Web" w:hAnsi="Titillium Web"/>
          <w:sz w:val="22"/>
          <w:szCs w:val="22"/>
        </w:rPr>
      </w:pPr>
      <w:r w:rsidDel="00000000" w:rsidR="00000000" w:rsidRPr="00000000">
        <w:rPr>
          <w:rFonts w:ascii="Titillium Web" w:cs="Titillium Web" w:eastAsia="Titillium Web" w:hAnsi="Titillium Web"/>
          <w:sz w:val="22"/>
          <w:szCs w:val="22"/>
          <w:rtl w:val="0"/>
        </w:rPr>
        <w:t xml:space="preserve">Disciplina di insegnamento </w:t>
      </w:r>
      <w:r w:rsidDel="00000000" w:rsidR="00000000" w:rsidRPr="00000000">
        <w:rPr>
          <w:rFonts w:ascii="Titillium Web" w:cs="Titillium Web" w:eastAsia="Titillium Web" w:hAnsi="Titillium Web"/>
          <w:color w:val="a6a6a6"/>
          <w:rtl w:val="0"/>
        </w:rPr>
        <w:t xml:space="preserve">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tillium Web" w:cs="Titillium Web" w:eastAsia="Titillium Web" w:hAnsi="Titillium Web"/>
          <w:sz w:val="22"/>
          <w:szCs w:val="22"/>
        </w:rPr>
      </w:pPr>
      <w:r w:rsidDel="00000000" w:rsidR="00000000" w:rsidRPr="00000000">
        <w:rPr>
          <w:rFonts w:ascii="Titillium Web" w:cs="Titillium Web" w:eastAsia="Titillium Web" w:hAnsi="Titillium Web"/>
          <w:sz w:val="22"/>
          <w:szCs w:val="22"/>
          <w:rtl w:val="0"/>
        </w:rPr>
        <w:t xml:space="preserve">Istituto di appartenenza </w:t>
      </w:r>
      <w:r w:rsidDel="00000000" w:rsidR="00000000" w:rsidRPr="00000000">
        <w:rPr>
          <w:rFonts w:ascii="Titillium Web" w:cs="Titillium Web" w:eastAsia="Titillium Web" w:hAnsi="Titillium Web"/>
          <w:color w:val="a6a6a6"/>
          <w:rtl w:val="0"/>
        </w:rPr>
        <w:t xml:space="preserve">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tillium Web" w:cs="Titillium Web" w:eastAsia="Titillium Web" w:hAnsi="Titillium We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tillium Web" w:cs="Titillium Web" w:eastAsia="Titillium Web" w:hAnsi="Titillium Web"/>
          <w:sz w:val="22"/>
          <w:szCs w:val="22"/>
        </w:rPr>
      </w:pPr>
      <w:r w:rsidDel="00000000" w:rsidR="00000000" w:rsidRPr="00000000">
        <w:rPr>
          <w:rFonts w:ascii="Titillium Web" w:cs="Titillium Web" w:eastAsia="Titillium Web" w:hAnsi="Titillium Web"/>
          <w:sz w:val="22"/>
          <w:szCs w:val="22"/>
          <w:rtl w:val="0"/>
        </w:rPr>
        <w:t xml:space="preserve">Sede (città/regione) </w:t>
      </w:r>
      <w:r w:rsidDel="00000000" w:rsidR="00000000" w:rsidRPr="00000000">
        <w:rPr>
          <w:rFonts w:ascii="Titillium Web" w:cs="Titillium Web" w:eastAsia="Titillium Web" w:hAnsi="Titillium Web"/>
          <w:color w:val="a6a6a6"/>
          <w:rtl w:val="0"/>
        </w:rPr>
        <w:t xml:space="preserve">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1"/>
        <w:spacing w:before="40" w:line="259" w:lineRule="auto"/>
        <w:jc w:val="center"/>
        <w:rPr>
          <w:rFonts w:ascii="Titillium Web" w:cs="Titillium Web" w:eastAsia="Titillium Web" w:hAnsi="Titillium Web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spacing w:before="40" w:line="259" w:lineRule="auto"/>
        <w:jc w:val="center"/>
        <w:rPr>
          <w:rFonts w:ascii="Titillium Web" w:cs="Titillium Web" w:eastAsia="Titillium Web" w:hAnsi="Titillium Web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1"/>
        <w:spacing w:before="40" w:line="259" w:lineRule="auto"/>
        <w:jc w:val="center"/>
        <w:rPr>
          <w:rFonts w:ascii="Titillium Web" w:cs="Titillium Web" w:eastAsia="Titillium Web" w:hAnsi="Titillium Web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spacing w:before="40" w:line="259" w:lineRule="auto"/>
        <w:rPr>
          <w:rFonts w:ascii="Titillium Web" w:cs="Titillium Web" w:eastAsia="Titillium Web" w:hAnsi="Titillium Web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spacing w:before="40" w:line="259" w:lineRule="auto"/>
        <w:jc w:val="center"/>
        <w:rPr>
          <w:rFonts w:ascii="Titillium Web" w:cs="Titillium Web" w:eastAsia="Titillium Web" w:hAnsi="Titillium Web"/>
          <w:b w:val="1"/>
          <w:color w:val="5f497a"/>
          <w:sz w:val="28"/>
          <w:szCs w:val="28"/>
        </w:rPr>
      </w:pPr>
      <w:r w:rsidDel="00000000" w:rsidR="00000000" w:rsidRPr="00000000">
        <w:rPr>
          <w:rFonts w:ascii="Titillium Web" w:cs="Titillium Web" w:eastAsia="Titillium Web" w:hAnsi="Titillium Web"/>
          <w:b w:val="1"/>
          <w:color w:val="5f497a"/>
          <w:sz w:val="28"/>
          <w:szCs w:val="28"/>
          <w:rtl w:val="0"/>
        </w:rPr>
        <w:t xml:space="preserve">Livelli di competenza</w:t>
      </w:r>
    </w:p>
    <w:p w:rsidR="00000000" w:rsidDel="00000000" w:rsidP="00000000" w:rsidRDefault="00000000" w:rsidRPr="00000000" w14:paraId="00000012">
      <w:pPr>
        <w:keepNext w:val="1"/>
        <w:keepLines w:val="1"/>
        <w:spacing w:before="40" w:line="259" w:lineRule="auto"/>
        <w:jc w:val="center"/>
        <w:rPr>
          <w:rFonts w:ascii="Titillium Web" w:cs="Titillium Web" w:eastAsia="Titillium Web" w:hAnsi="Titillium Web"/>
          <w:b w:val="1"/>
          <w:color w:val="5f497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jc w:val="center"/>
        <w:rPr>
          <w:rFonts w:ascii="Titillium Web" w:cs="Titillium Web" w:eastAsia="Titillium Web" w:hAnsi="Titillium Web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20"/>
          <w:szCs w:val="20"/>
        </w:rPr>
      </w:pPr>
      <w:r w:rsidDel="00000000" w:rsidR="00000000" w:rsidRPr="00000000">
        <w:rPr>
          <w:rFonts w:ascii="Titillium Web" w:cs="Titillium Web" w:eastAsia="Titillium Web" w:hAnsi="Titillium Web"/>
          <w:color w:val="000000"/>
          <w:sz w:val="20"/>
          <w:szCs w:val="20"/>
          <w:rtl w:val="0"/>
        </w:rPr>
        <w:t xml:space="preserve"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:rsidR="00000000" w:rsidDel="00000000" w:rsidP="00000000" w:rsidRDefault="00000000" w:rsidRPr="00000000" w14:paraId="00000015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20"/>
          <w:szCs w:val="20"/>
        </w:rPr>
      </w:pPr>
      <w:r w:rsidDel="00000000" w:rsidR="00000000" w:rsidRPr="00000000">
        <w:rPr>
          <w:rFonts w:ascii="Titillium Web" w:cs="Titillium Web" w:eastAsia="Titillium Web" w:hAnsi="Titillium Web"/>
          <w:color w:val="000000"/>
          <w:sz w:val="20"/>
          <w:szCs w:val="20"/>
          <w:rtl w:val="0"/>
        </w:rPr>
        <w:t xml:space="preserve">Per una migliore comprensione degli indicatori di competenza si rinvia alla consultazione della </w:t>
      </w:r>
      <w:r w:rsidDel="00000000" w:rsidR="00000000" w:rsidRPr="00000000">
        <w:rPr>
          <w:rFonts w:ascii="Titillium Web" w:cs="Titillium Web" w:eastAsia="Titillium Web" w:hAnsi="Titillium Web"/>
          <w:i w:val="1"/>
          <w:color w:val="000000"/>
          <w:sz w:val="20"/>
          <w:szCs w:val="20"/>
          <w:rtl w:val="0"/>
        </w:rPr>
        <w:t xml:space="preserve">Legenda del Bilancio iniziale delle competenze</w:t>
      </w:r>
      <w:r w:rsidDel="00000000" w:rsidR="00000000" w:rsidRPr="00000000">
        <w:rPr>
          <w:rFonts w:ascii="Titillium Web" w:cs="Titillium Web" w:eastAsia="Titillium Web" w:hAnsi="Titillium Web"/>
          <w:color w:val="000000"/>
          <w:sz w:val="20"/>
          <w:szCs w:val="20"/>
          <w:rtl w:val="0"/>
        </w:rPr>
        <w:t xml:space="preserve">, strumento allegato al presente documento, nel quale sono fornite puntuali e dettagliate spiegazioni per ciascun indicatore; il documento può rivelarsi utile sussidio per una migliore autovalutazione dei livelli di competenza attesi.</w:t>
      </w:r>
    </w:p>
    <w:p w:rsidR="00000000" w:rsidDel="00000000" w:rsidP="00000000" w:rsidRDefault="00000000" w:rsidRPr="00000000" w14:paraId="00000016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16" w:lineRule="auto"/>
        <w:jc w:val="both"/>
        <w:rPr>
          <w:rFonts w:ascii="Titillium Web" w:cs="Titillium Web" w:eastAsia="Titillium Web" w:hAnsi="Titillium Web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59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675.0" w:type="dxa"/>
        <w:jc w:val="center"/>
        <w:tblBorders>
          <w:top w:color="a6a6a6" w:space="0" w:sz="12" w:val="single"/>
          <w:left w:color="a6a6a6" w:space="0" w:sz="12" w:val="single"/>
          <w:bottom w:color="a6a6a6" w:space="0" w:sz="12" w:val="single"/>
          <w:right w:color="a6a6a6" w:space="0" w:sz="12" w:val="single"/>
          <w:insideH w:color="a6a6a6" w:space="0" w:sz="12" w:val="single"/>
          <w:insideV w:color="a6a6a6" w:space="0" w:sz="12" w:val="single"/>
        </w:tblBorders>
        <w:tblLayout w:type="fixed"/>
        <w:tblLook w:val="0400"/>
      </w:tblPr>
      <w:tblGrid>
        <w:gridCol w:w="6675"/>
        <w:tblGridChange w:id="0">
          <w:tblGrid>
            <w:gridCol w:w="667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a6a6a6" w:space="0" w:sz="12" w:val="single"/>
              <w:left w:color="a6a6a6" w:space="0" w:sz="12" w:val="single"/>
              <w:bottom w:color="a6a6a6" w:space="0" w:sz="12" w:val="single"/>
              <w:right w:color="a6a6a6" w:space="0" w:sz="12" w:val="single"/>
            </w:tcBorders>
          </w:tcPr>
          <w:p w:rsidR="00000000" w:rsidDel="00000000" w:rsidP="00000000" w:rsidRDefault="00000000" w:rsidRPr="00000000" w14:paraId="0000001F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  <w:rtl w:val="0"/>
              </w:rPr>
              <w:t xml:space="preserve">Nessuna = Livello 0</w:t>
            </w:r>
          </w:p>
          <w:p w:rsidR="00000000" w:rsidDel="00000000" w:rsidP="00000000" w:rsidRDefault="00000000" w:rsidRPr="00000000" w14:paraId="00000021">
            <w:pPr>
              <w:ind w:left="161" w:firstLine="0"/>
              <w:jc w:val="both"/>
              <w:rPr>
                <w:rFonts w:ascii="Titillium Web" w:cs="Titillium Web" w:eastAsia="Titillium Web" w:hAnsi="Titillium Web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sz w:val="19"/>
                <w:szCs w:val="19"/>
                <w:rtl w:val="0"/>
              </w:rPr>
              <w:t xml:space="preserve">La competenza non è stata mai sperimentata.</w:t>
            </w:r>
          </w:p>
          <w:p w:rsidR="00000000" w:rsidDel="00000000" w:rsidP="00000000" w:rsidRDefault="00000000" w:rsidRPr="00000000" w14:paraId="00000022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a6a6a6" w:space="0" w:sz="12" w:val="single"/>
            </w:tcBorders>
          </w:tcPr>
          <w:p w:rsidR="00000000" w:rsidDel="00000000" w:rsidP="00000000" w:rsidRDefault="00000000" w:rsidRPr="00000000" w14:paraId="00000023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  <w:rtl w:val="0"/>
              </w:rPr>
              <w:t xml:space="preserve">Iniziale = Livello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161" w:firstLine="0"/>
              <w:jc w:val="both"/>
              <w:rPr>
                <w:rFonts w:ascii="Titillium Web" w:cs="Titillium Web" w:eastAsia="Titillium Web" w:hAnsi="Titillium Web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sz w:val="19"/>
                <w:szCs w:val="19"/>
                <w:rtl w:val="0"/>
              </w:rPr>
              <w:t xml:space="preserve">La competenza è in fase di avvio del processo di acquisizione e di prima formazione.</w:t>
            </w:r>
          </w:p>
          <w:p w:rsidR="00000000" w:rsidDel="00000000" w:rsidP="00000000" w:rsidRDefault="00000000" w:rsidRPr="00000000" w14:paraId="00000026">
            <w:pPr>
              <w:ind w:left="161" w:firstLine="0"/>
              <w:jc w:val="center"/>
              <w:rPr>
                <w:rFonts w:ascii="Titillium Web" w:cs="Titillium Web" w:eastAsia="Titillium Web" w:hAnsi="Titillium We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  <w:rtl w:val="0"/>
              </w:rPr>
              <w:t xml:space="preserve">In corso di formazione = Livello 2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2996"/>
              </w:tabs>
              <w:ind w:left="161" w:firstLine="0"/>
              <w:jc w:val="both"/>
              <w:rPr>
                <w:rFonts w:ascii="Titillium Web" w:cs="Titillium Web" w:eastAsia="Titillium Web" w:hAnsi="Titillium Web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sz w:val="19"/>
                <w:szCs w:val="19"/>
                <w:rtl w:val="0"/>
              </w:rPr>
              <w:t xml:space="preserve">La competenza è in via di consolidamento e in progressione verso gli standard attesi.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2996"/>
              </w:tabs>
              <w:ind w:left="161" w:firstLine="0"/>
              <w:jc w:val="both"/>
              <w:rPr>
                <w:rFonts w:ascii="Titillium Web" w:cs="Titillium Web" w:eastAsia="Titillium Web" w:hAnsi="Titillium Web"/>
                <w:sz w:val="4"/>
                <w:szCs w:val="4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bottom w:color="a6a6a6" w:space="0" w:sz="12" w:val="single"/>
            </w:tcBorders>
          </w:tcPr>
          <w:p w:rsidR="00000000" w:rsidDel="00000000" w:rsidP="00000000" w:rsidRDefault="00000000" w:rsidRPr="00000000" w14:paraId="0000002B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  <w:rtl w:val="0"/>
              </w:rPr>
              <w:t xml:space="preserve">Standard atteso = Livello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161" w:firstLine="0"/>
              <w:jc w:val="both"/>
              <w:rPr>
                <w:rFonts w:ascii="Titillium Web" w:cs="Titillium Web" w:eastAsia="Titillium Web" w:hAnsi="Titillium Web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sz w:val="19"/>
                <w:szCs w:val="19"/>
                <w:rtl w:val="0"/>
              </w:rPr>
              <w:t xml:space="preserve">La competenza è consolidata, consapevole e sicura.</w:t>
            </w:r>
          </w:p>
          <w:p w:rsidR="00000000" w:rsidDel="00000000" w:rsidP="00000000" w:rsidRDefault="00000000" w:rsidRPr="00000000" w14:paraId="0000002E">
            <w:pPr>
              <w:ind w:left="161" w:firstLine="0"/>
              <w:jc w:val="both"/>
              <w:rPr>
                <w:rFonts w:ascii="Titillium Web" w:cs="Titillium Web" w:eastAsia="Titillium Web" w:hAnsi="Titillium Web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bottom w:color="a6a6a6" w:space="0" w:sz="12" w:val="single"/>
            </w:tcBorders>
          </w:tcPr>
          <w:p w:rsidR="00000000" w:rsidDel="00000000" w:rsidP="00000000" w:rsidRDefault="00000000" w:rsidRPr="00000000" w14:paraId="0000002F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sz w:val="19"/>
                <w:szCs w:val="19"/>
                <w:rtl w:val="0"/>
              </w:rPr>
              <w:t xml:space="preserve">Esperto = Livello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161" w:firstLine="0"/>
              <w:jc w:val="both"/>
              <w:rPr>
                <w:rFonts w:ascii="Titillium Web" w:cs="Titillium Web" w:eastAsia="Titillium Web" w:hAnsi="Titillium Web"/>
                <w:sz w:val="19"/>
                <w:szCs w:val="1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sz w:val="19"/>
                <w:szCs w:val="19"/>
                <w:rtl w:val="0"/>
              </w:rPr>
              <w:t xml:space="preserve">La competenza è matura e accreditata e può essere messa a disposizione dei/delle colleghi/e e della scuola.</w:t>
            </w:r>
          </w:p>
          <w:p w:rsidR="00000000" w:rsidDel="00000000" w:rsidP="00000000" w:rsidRDefault="00000000" w:rsidRPr="00000000" w14:paraId="00000032">
            <w:pPr>
              <w:ind w:left="161" w:firstLine="0"/>
              <w:jc w:val="center"/>
              <w:rPr>
                <w:rFonts w:ascii="Titillium Web" w:cs="Titillium Web" w:eastAsia="Titillium Web" w:hAnsi="Titillium Web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908.0" w:type="dxa"/>
        <w:jc w:val="left"/>
        <w:tblBorders>
          <w:top w:color="a6a6a6" w:space="0" w:sz="12" w:val="single"/>
          <w:left w:color="a6a6a6" w:space="0" w:sz="12" w:val="single"/>
          <w:bottom w:color="a6a6a6" w:space="0" w:sz="12" w:val="single"/>
          <w:right w:color="a6a6a6" w:space="0" w:sz="12" w:val="single"/>
          <w:insideH w:color="a6a6a6" w:space="0" w:sz="12" w:val="single"/>
          <w:insideV w:color="a6a6a6" w:space="0" w:sz="12" w:val="single"/>
        </w:tblBorders>
        <w:tblLayout w:type="fixed"/>
        <w:tblLook w:val="0400"/>
      </w:tblPr>
      <w:tblGrid>
        <w:gridCol w:w="2353"/>
        <w:gridCol w:w="108"/>
        <w:gridCol w:w="5220"/>
        <w:gridCol w:w="108"/>
        <w:gridCol w:w="2100"/>
        <w:gridCol w:w="19"/>
        <w:tblGridChange w:id="0">
          <w:tblGrid>
            <w:gridCol w:w="2353"/>
            <w:gridCol w:w="108"/>
            <w:gridCol w:w="5220"/>
            <w:gridCol w:w="108"/>
            <w:gridCol w:w="2100"/>
            <w:gridCol w:w="1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5"/>
            <w:shd w:fill="ebf1dd" w:val="clear"/>
          </w:tcPr>
          <w:p w:rsidR="00000000" w:rsidDel="00000000" w:rsidP="00000000" w:rsidRDefault="00000000" w:rsidRPr="00000000" w14:paraId="00000035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  <w:rtl w:val="0"/>
              </w:rPr>
              <w:t xml:space="preserve">A - DIDATTICA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  <w:rtl w:val="0"/>
              </w:rPr>
              <w:t xml:space="preserve">Area delle competenze didattiche, metodologiche e relazionali</w:t>
            </w:r>
          </w:p>
          <w:p w:rsidR="00000000" w:rsidDel="00000000" w:rsidP="00000000" w:rsidRDefault="00000000" w:rsidRPr="00000000" w14:paraId="00000038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a6a6a6" w:space="0" w:sz="12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sz w:val="24"/>
                <w:szCs w:val="24"/>
                <w:rtl w:val="0"/>
              </w:rPr>
              <w:t xml:space="preserve">Standard minimi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sz w:val="24"/>
                <w:szCs w:val="24"/>
                <w:rtl w:val="0"/>
              </w:rPr>
              <w:t xml:space="preserve">Indicatori delle competenze professionali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16" w:lineRule="auto"/>
              <w:ind w:left="-113" w:right="-119" w:firstLine="0"/>
              <w:jc w:val="center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16" w:lineRule="auto"/>
              <w:ind w:left="-113" w:right="-119" w:firstLine="0"/>
              <w:jc w:val="center"/>
              <w:rPr>
                <w:rFonts w:ascii="Titillium Web" w:cs="Titillium Web" w:eastAsia="Titillium Web" w:hAnsi="Titillium Web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sz w:val="22"/>
                <w:szCs w:val="22"/>
                <w:rtl w:val="0"/>
              </w:rPr>
              <w:t xml:space="preserve">Posizionamento</w:t>
            </w:r>
          </w:p>
          <w:p w:rsidR="00000000" w:rsidDel="00000000" w:rsidP="00000000" w:rsidRDefault="00000000" w:rsidRPr="00000000" w14:paraId="00000043">
            <w:pPr>
              <w:spacing w:line="216" w:lineRule="auto"/>
              <w:ind w:left="-113" w:right="-119" w:firstLine="0"/>
              <w:jc w:val="center"/>
              <w:rPr>
                <w:rFonts w:ascii="Titillium Web" w:cs="Titillium Web" w:eastAsia="Titillium Web" w:hAnsi="Titillium Web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sz w:val="22"/>
                <w:szCs w:val="22"/>
                <w:rtl w:val="0"/>
              </w:rPr>
              <w:t xml:space="preserve">livello</w:t>
            </w:r>
          </w:p>
          <w:p w:rsidR="00000000" w:rsidDel="00000000" w:rsidP="00000000" w:rsidRDefault="00000000" w:rsidRPr="00000000" w14:paraId="00000044">
            <w:pPr>
              <w:spacing w:line="216" w:lineRule="auto"/>
              <w:ind w:left="-113" w:right="-119" w:firstLine="0"/>
              <w:jc w:val="center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(scala: 0 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808080"/>
                <w:rtl w:val="0"/>
              </w:rPr>
              <w:t xml:space="preserve">-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1 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a6a6a6"/>
                <w:rtl w:val="0"/>
              </w:rPr>
              <w:t xml:space="preserve">-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2 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a6a6a6"/>
                <w:rtl w:val="0"/>
              </w:rPr>
              <w:t xml:space="preserve">-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3 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a6a6a6"/>
                <w:rtl w:val="0"/>
              </w:rPr>
              <w:t xml:space="preserve">-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4)</w:t>
            </w:r>
          </w:p>
          <w:p w:rsidR="00000000" w:rsidDel="00000000" w:rsidP="00000000" w:rsidRDefault="00000000" w:rsidRPr="00000000" w14:paraId="00000045">
            <w:pPr>
              <w:spacing w:line="216" w:lineRule="auto"/>
              <w:ind w:left="-113" w:right="-119" w:firstLine="0"/>
              <w:jc w:val="center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046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</w:p>
          <w:p w:rsidR="00000000" w:rsidDel="00000000" w:rsidP="00000000" w:rsidRDefault="00000000" w:rsidRPr="00000000" w14:paraId="00000048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9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Progettare e gestire situazioni</w:t>
            </w:r>
          </w:p>
          <w:p w:rsidR="00000000" w:rsidDel="00000000" w:rsidP="00000000" w:rsidRDefault="00000000" w:rsidRPr="00000000" w14:paraId="0000004B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di apprendimento</w:t>
            </w:r>
          </w:p>
          <w:p w:rsidR="00000000" w:rsidDel="00000000" w:rsidP="00000000" w:rsidRDefault="00000000" w:rsidRPr="00000000" w14:paraId="0000004C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che promuovano le otto competenze chiave europee per un apprendimento permanente, trasformando l’insegnamento</w:t>
            </w:r>
          </w:p>
          <w:p w:rsidR="00000000" w:rsidDel="00000000" w:rsidP="00000000" w:rsidRDefault="00000000" w:rsidRPr="00000000" w14:paraId="0000004D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 esperienze significative e critiche, anche attraverso l’utilizzo di strumenti digitali e didattici</w:t>
            </w:r>
          </w:p>
          <w:p w:rsidR="00000000" w:rsidDel="00000000" w:rsidP="00000000" w:rsidRDefault="00000000" w:rsidRPr="00000000" w14:paraId="0000004E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 presenza e a distanza, e utilizzando strumenti di lavoro</w:t>
            </w:r>
          </w:p>
          <w:p w:rsidR="00000000" w:rsidDel="00000000" w:rsidP="00000000" w:rsidRDefault="00000000" w:rsidRPr="00000000" w14:paraId="0000004F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per documentare, valutare e certificare</w:t>
            </w:r>
          </w:p>
          <w:p w:rsidR="00000000" w:rsidDel="00000000" w:rsidP="00000000" w:rsidRDefault="00000000" w:rsidRPr="00000000" w14:paraId="00000050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le competenze personali di studenti</w:t>
            </w:r>
          </w:p>
          <w:p w:rsidR="00000000" w:rsidDel="00000000" w:rsidP="00000000" w:rsidRDefault="00000000" w:rsidRPr="00000000" w14:paraId="00000051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studentesse, anche</w:t>
            </w:r>
          </w:p>
          <w:p w:rsidR="00000000" w:rsidDel="00000000" w:rsidP="00000000" w:rsidRDefault="00000000" w:rsidRPr="00000000" w14:paraId="00000052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 prospettiva orientativa</w:t>
            </w:r>
          </w:p>
          <w:p w:rsidR="00000000" w:rsidDel="00000000" w:rsidP="00000000" w:rsidRDefault="00000000" w:rsidRPr="00000000" w14:paraId="00000053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spacing w:line="216" w:lineRule="auto"/>
              <w:ind w:left="28" w:right="28" w:firstLine="0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192" w:lineRule="auto"/>
              <w:ind w:left="28" w:right="28" w:firstLine="0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000000" w:rsidDel="00000000" w:rsidP="00000000" w:rsidRDefault="00000000" w:rsidRPr="00000000" w14:paraId="00000057">
            <w:pPr>
              <w:spacing w:line="192" w:lineRule="auto"/>
              <w:ind w:left="28" w:right="26" w:firstLine="0"/>
              <w:jc w:val="both"/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Integrare nella progettazione didattica i traguardi di competenza previsti dalla normativa per l’Educazione civica.</w:t>
            </w:r>
          </w:p>
          <w:p w:rsidR="00000000" w:rsidDel="00000000" w:rsidP="00000000" w:rsidRDefault="00000000" w:rsidRPr="00000000" w14:paraId="0000005E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Pianificare ed organizzare attività di orientamento formative.</w:t>
            </w:r>
          </w:p>
          <w:p w:rsidR="00000000" w:rsidDel="00000000" w:rsidP="00000000" w:rsidRDefault="00000000" w:rsidRPr="00000000" w14:paraId="00000065">
            <w:pPr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Individualizzare e/o personalizzare i percorsi di apprendimento a seconda dei diversi bisogni di studenti e studentesse adattando l’insegnamento e le attività in funzione delle differenze individuali e delle diverse modalità di apprendimento e degli obiettivi di apprendimento raggiunti dal gruppo-classe.</w:t>
            </w:r>
          </w:p>
          <w:p w:rsidR="00000000" w:rsidDel="00000000" w:rsidP="00000000" w:rsidRDefault="00000000" w:rsidRPr="00000000" w14:paraId="0000006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Attuare l’insegnamento seguendo un piano organizzato e strutturato che associ contenuti a relativi obiettivi di apprendimento.</w:t>
            </w:r>
          </w:p>
          <w:p w:rsidR="00000000" w:rsidDel="00000000" w:rsidP="00000000" w:rsidRDefault="00000000" w:rsidRPr="00000000" w14:paraId="0000007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8">
            <w:pPr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Gestire i tempi di svolgimento di un’attività di apprendimento e il passaggio tra un’attività e un’altra. </w:t>
            </w:r>
          </w:p>
          <w:p w:rsidR="00000000" w:rsidDel="00000000" w:rsidP="00000000" w:rsidRDefault="00000000" w:rsidRPr="00000000" w14:paraId="0000007A">
            <w:pPr>
              <w:spacing w:line="192" w:lineRule="auto"/>
              <w:rPr>
                <w:rFonts w:ascii="Titillium Web" w:cs="Titillium Web" w:eastAsia="Titillium Web" w:hAnsi="Titillium Web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F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Utilizzare mediatori didattici</w:t>
            </w: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, tecnologie digitali, ambienti virtuali e approcci innovativi come strumenti compensativi quali azioni/strumenti di supporto all’insegnamento e alle attività didattiche.</w:t>
            </w:r>
          </w:p>
          <w:p w:rsidR="00000000" w:rsidDel="00000000" w:rsidP="00000000" w:rsidRDefault="00000000" w:rsidRPr="00000000" w14:paraId="00000081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084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7030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</w:p>
          <w:p w:rsidR="00000000" w:rsidDel="00000000" w:rsidP="00000000" w:rsidRDefault="00000000" w:rsidRPr="00000000" w14:paraId="00000086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87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Adottare e adattare strategie e metodi didattici, compresi quelli personalizzati</w:t>
            </w:r>
          </w:p>
          <w:p w:rsidR="00000000" w:rsidDel="00000000" w:rsidP="00000000" w:rsidRDefault="00000000" w:rsidRPr="00000000" w14:paraId="00000089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per l’inclusione</w:t>
            </w:r>
          </w:p>
          <w:p w:rsidR="00000000" w:rsidDel="00000000" w:rsidP="00000000" w:rsidRDefault="00000000" w:rsidRPr="00000000" w14:paraId="0000008A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di studenti</w:t>
            </w:r>
          </w:p>
          <w:p w:rsidR="00000000" w:rsidDel="00000000" w:rsidP="00000000" w:rsidRDefault="00000000" w:rsidRPr="00000000" w14:paraId="0000008B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studentesse</w:t>
            </w:r>
          </w:p>
          <w:p w:rsidR="00000000" w:rsidDel="00000000" w:rsidP="00000000" w:rsidRDefault="00000000" w:rsidRPr="00000000" w14:paraId="0000008C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con disabilità e bisogni educativi speciali, integrando epistemologie</w:t>
            </w:r>
          </w:p>
          <w:p w:rsidR="00000000" w:rsidDel="00000000" w:rsidP="00000000" w:rsidRDefault="00000000" w:rsidRPr="00000000" w14:paraId="0000008D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metodologie disciplinari</w:t>
            </w:r>
          </w:p>
          <w:p w:rsidR="00000000" w:rsidDel="00000000" w:rsidP="00000000" w:rsidRDefault="00000000" w:rsidRPr="00000000" w14:paraId="0000008E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interdisciplinari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1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000000" w:rsidDel="00000000" w:rsidP="00000000" w:rsidRDefault="00000000" w:rsidRPr="00000000" w14:paraId="00000093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8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Alternare e variare i dispositivi e i materiali didattici all’interno del percorso didattico delle singole unità di apprendimento.</w:t>
            </w:r>
          </w:p>
          <w:p w:rsidR="00000000" w:rsidDel="00000000" w:rsidP="00000000" w:rsidRDefault="00000000" w:rsidRPr="00000000" w14:paraId="0000009A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Monitorare </w:t>
            </w: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in itinere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, revisionare e riprogettare le attività didattiche.</w:t>
            </w:r>
          </w:p>
          <w:p w:rsidR="00000000" w:rsidDel="00000000" w:rsidP="00000000" w:rsidRDefault="00000000" w:rsidRPr="00000000" w14:paraId="000000A1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2" w:hRule="atLeast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0A4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A6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Adottare strategie</w:t>
            </w:r>
          </w:p>
          <w:p w:rsidR="00000000" w:rsidDel="00000000" w:rsidP="00000000" w:rsidRDefault="00000000" w:rsidRPr="00000000" w14:paraId="000000A8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metodi di valutazione per promuovere l’apprendimento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D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Progettare le attività di verifica che consentano di raccogliere evidenze coerenti con gli obiettivi definiti in partenza in termini di competenze sia disciplinari specifiche sia trasversali.</w:t>
            </w:r>
          </w:p>
          <w:p w:rsidR="00000000" w:rsidDel="00000000" w:rsidP="00000000" w:rsidRDefault="00000000" w:rsidRPr="00000000" w14:paraId="000000AF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Implementare strumenti di valutazione formativa </w:t>
            </w: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in itinere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per monitorare i progressi di studenti e studentesse in relazione agli obiettivi didattici definiti in partenza.</w:t>
            </w:r>
          </w:p>
          <w:p w:rsidR="00000000" w:rsidDel="00000000" w:rsidP="00000000" w:rsidRDefault="00000000" w:rsidRPr="00000000" w14:paraId="000000B6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Variare e alternare prove di verifica di diversa tipologia.</w:t>
            </w:r>
          </w:p>
          <w:p w:rsidR="00000000" w:rsidDel="00000000" w:rsidP="00000000" w:rsidRDefault="00000000" w:rsidRPr="00000000" w14:paraId="000000BD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Comunicare con chiarezza a studenti e studentesse fin dall’inizio sia gli obiettivi di apprendimento sia i criteri di valutazione delle prove di verifica che verranno somministrate.</w:t>
            </w:r>
          </w:p>
          <w:p w:rsidR="00000000" w:rsidDel="00000000" w:rsidP="00000000" w:rsidRDefault="00000000" w:rsidRPr="00000000" w14:paraId="000000C4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Per l’infanzia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: esplicitare con chiarezza e con un linguaggio adeguato all’età di alunni e alunne gli obiettivi delle attività proposte.</w:t>
            </w:r>
          </w:p>
          <w:p w:rsidR="00000000" w:rsidDel="00000000" w:rsidP="00000000" w:rsidRDefault="00000000" w:rsidRPr="00000000" w14:paraId="000000C5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A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Assicurare a studenti e studentesse </w:t>
            </w: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feedback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formativi così da promuovere il miglioramento dei processi educativi e la crescita di ognuno/a.</w:t>
            </w:r>
          </w:p>
          <w:p w:rsidR="00000000" w:rsidDel="00000000" w:rsidP="00000000" w:rsidRDefault="00000000" w:rsidRPr="00000000" w14:paraId="000000C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0CF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D1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Gestire relazioni</w:t>
            </w:r>
          </w:p>
          <w:p w:rsidR="00000000" w:rsidDel="00000000" w:rsidP="00000000" w:rsidRDefault="00000000" w:rsidRPr="00000000" w14:paraId="000000D3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comportamenti</w:t>
            </w:r>
          </w:p>
          <w:p w:rsidR="00000000" w:rsidDel="00000000" w:rsidP="00000000" w:rsidRDefault="00000000" w:rsidRPr="00000000" w14:paraId="000000D4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 classe per favorire l’apprendimento</w:t>
            </w:r>
          </w:p>
          <w:p w:rsidR="00000000" w:rsidDel="00000000" w:rsidP="00000000" w:rsidRDefault="00000000" w:rsidRPr="00000000" w14:paraId="000000D5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 un clima disteso</w:t>
            </w:r>
          </w:p>
          <w:p w:rsidR="00000000" w:rsidDel="00000000" w:rsidP="00000000" w:rsidRDefault="00000000" w:rsidRPr="00000000" w14:paraId="000000D6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collaborativo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Promuovere in studenti e studentesse l’apprendimento collaborativo e/o cooperativo.</w:t>
            </w:r>
          </w:p>
          <w:p w:rsidR="00000000" w:rsidDel="00000000" w:rsidP="00000000" w:rsidRDefault="00000000" w:rsidRPr="00000000" w14:paraId="000000D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2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Implementare attività di apprendimento autonomo e di studio autoregolato.</w:t>
            </w:r>
          </w:p>
          <w:p w:rsidR="00000000" w:rsidDel="00000000" w:rsidP="00000000" w:rsidRDefault="00000000" w:rsidRPr="00000000" w14:paraId="000000E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9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Individuare e condividere regole di comportamento e forme di comunicazione che tengano conto delle diversità e facilitino il superamento di eventuali situazioni problematiche.</w:t>
            </w:r>
          </w:p>
          <w:p w:rsidR="00000000" w:rsidDel="00000000" w:rsidP="00000000" w:rsidRDefault="00000000" w:rsidRPr="00000000" w14:paraId="000000EB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9" w:hRule="atLeast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0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Sostenere l’autostima di ogni studente e studentessa e favorirne (anche quando membro di un gruppo) la percezione di autoefficacia valorizzando il suo contributo e l’impegno profuso.</w:t>
            </w:r>
          </w:p>
          <w:p w:rsidR="00000000" w:rsidDel="00000000" w:rsidP="00000000" w:rsidRDefault="00000000" w:rsidRPr="00000000" w14:paraId="000000F2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a6a6a6" w:space="0" w:sz="12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F9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  <w:rtl w:val="0"/>
              </w:rPr>
              <w:t xml:space="preserve">B - ISTITUZIONE-COMUNITÀ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  <w:rtl w:val="0"/>
              </w:rPr>
              <w:t xml:space="preserve">Area delle competenze relative alla partecipazione alla vita della scuola e del contesto sociale</w:t>
            </w:r>
          </w:p>
          <w:p w:rsidR="00000000" w:rsidDel="00000000" w:rsidP="00000000" w:rsidRDefault="00000000" w:rsidRPr="00000000" w14:paraId="000000FC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6" w:hRule="atLeast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101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03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Partecipare attivamente all’esperienza professionale organizzata a scuola, comprendendo</w:t>
            </w:r>
          </w:p>
          <w:p w:rsidR="00000000" w:rsidDel="00000000" w:rsidP="00000000" w:rsidRDefault="00000000" w:rsidRPr="00000000" w14:paraId="00000105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applicando funzioni</w:t>
            </w:r>
          </w:p>
          <w:p w:rsidR="00000000" w:rsidDel="00000000" w:rsidP="00000000" w:rsidRDefault="00000000" w:rsidRPr="00000000" w14:paraId="00000106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modalità</w:t>
            </w:r>
          </w:p>
          <w:p w:rsidR="00000000" w:rsidDel="00000000" w:rsidP="00000000" w:rsidRDefault="00000000" w:rsidRPr="00000000" w14:paraId="00000107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della valutazione interna</w:t>
            </w:r>
          </w:p>
          <w:p w:rsidR="00000000" w:rsidDel="00000000" w:rsidP="00000000" w:rsidRDefault="00000000" w:rsidRPr="00000000" w14:paraId="00000108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ed esterna</w:t>
            </w:r>
          </w:p>
          <w:p w:rsidR="00000000" w:rsidDel="00000000" w:rsidP="00000000" w:rsidRDefault="00000000" w:rsidRPr="00000000" w14:paraId="00000109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degli apprendimenti formali, non formali</w:t>
            </w:r>
          </w:p>
          <w:p w:rsidR="00000000" w:rsidDel="00000000" w:rsidP="00000000" w:rsidRDefault="00000000" w:rsidRPr="00000000" w14:paraId="0000010A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informali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Conoscere il funzionamento dell’organizzazione della scuola e il contesto socioculturale ed economico in cui essa agisce.</w:t>
            </w:r>
          </w:p>
          <w:p w:rsidR="00000000" w:rsidDel="00000000" w:rsidP="00000000" w:rsidRDefault="00000000" w:rsidRPr="00000000" w14:paraId="0000010E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Partecipare alla realizzazione delle iniziative educative deliberate e organizzate dalla scuola e/o proporne di nuove.</w:t>
            </w:r>
          </w:p>
          <w:p w:rsidR="00000000" w:rsidDel="00000000" w:rsidP="00000000" w:rsidRDefault="00000000" w:rsidRPr="00000000" w14:paraId="00000116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Partecipare attivamente all’organizzazione e alla gestione della scuola, lavorando in sinergia con il/la Dirigente e in collaborazione con il personale scolastico.</w:t>
            </w:r>
          </w:p>
          <w:p w:rsidR="00000000" w:rsidDel="00000000" w:rsidP="00000000" w:rsidRDefault="00000000" w:rsidRPr="00000000" w14:paraId="0000011E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:rsidR="00000000" w:rsidDel="00000000" w:rsidP="00000000" w:rsidRDefault="00000000" w:rsidRPr="00000000" w14:paraId="00000126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Per l’infanzia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: favorire la partecipazione di bambini e bambine alle attività scolastiche legate alle </w:t>
            </w:r>
            <w:r w:rsidDel="00000000" w:rsidR="00000000" w:rsidRPr="00000000">
              <w:rPr>
                <w:rFonts w:ascii="Titillium Web" w:cs="Titillium Web" w:eastAsia="Titillium Web" w:hAnsi="Titillium Web"/>
                <w:i w:val="1"/>
                <w:color w:val="000000"/>
                <w:rtl w:val="0"/>
              </w:rPr>
              <w:t xml:space="preserve">routine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000000" w:rsidDel="00000000" w:rsidP="00000000" w:rsidRDefault="00000000" w:rsidRPr="00000000" w14:paraId="00000127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1" w:hRule="atLeast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12B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2D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Lavorare in modo collaborativo</w:t>
            </w:r>
          </w:p>
          <w:p w:rsidR="00000000" w:rsidDel="00000000" w:rsidP="00000000" w:rsidRDefault="00000000" w:rsidRPr="00000000" w14:paraId="0000012F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con la comunità professionale</w:t>
            </w:r>
          </w:p>
          <w:p w:rsidR="00000000" w:rsidDel="00000000" w:rsidP="00000000" w:rsidRDefault="00000000" w:rsidRPr="00000000" w14:paraId="00000130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della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2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Collaborare alla creazione di gruppi di lavoro tra docenti e/o prendervi attivamente parte.</w:t>
            </w:r>
          </w:p>
          <w:p w:rsidR="00000000" w:rsidDel="00000000" w:rsidP="00000000" w:rsidRDefault="00000000" w:rsidRPr="00000000" w14:paraId="00000134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A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Coinvolgere in modo attivo altre figure presenti nella comunità educante.</w:t>
            </w:r>
          </w:p>
          <w:p w:rsidR="00000000" w:rsidDel="00000000" w:rsidP="00000000" w:rsidRDefault="00000000" w:rsidRPr="00000000" w14:paraId="0000013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1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Condividere gli aspetti dei processi di insegnamento-apprendimento all’interno del team/Consiglio di Classe o del dipartimento anche in un’ottica di verticalità fra gli ordini di scuola.</w:t>
            </w:r>
          </w:p>
          <w:p w:rsidR="00000000" w:rsidDel="00000000" w:rsidP="00000000" w:rsidRDefault="00000000" w:rsidRPr="00000000" w14:paraId="00000143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146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48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Instaurare rapporti positivi con i familiari di studenti </w:t>
            </w:r>
          </w:p>
          <w:p w:rsidR="00000000" w:rsidDel="00000000" w:rsidP="00000000" w:rsidRDefault="00000000" w:rsidRPr="00000000" w14:paraId="0000014A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studentesse e con</w:t>
            </w:r>
          </w:p>
          <w:p w:rsidR="00000000" w:rsidDel="00000000" w:rsidP="00000000" w:rsidRDefault="00000000" w:rsidRPr="00000000" w14:paraId="0000014B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 partner istituzionali</w:t>
            </w:r>
          </w:p>
          <w:p w:rsidR="00000000" w:rsidDel="00000000" w:rsidP="00000000" w:rsidRDefault="00000000" w:rsidRPr="00000000" w14:paraId="0000014C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sociali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E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Favorire la partecipazione dei fam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rtl w:val="0"/>
              </w:rPr>
              <w:t xml:space="preserve">ig</w:t>
            </w: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liari di studenti e studentesse alla vita organizzativa della scuola.</w:t>
            </w:r>
          </w:p>
          <w:p w:rsidR="00000000" w:rsidDel="00000000" w:rsidP="00000000" w:rsidRDefault="00000000" w:rsidRPr="00000000" w14:paraId="00000150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5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Comunicare ai famigliari di studenti e studentesse obiettivi didattici attesi/raggiunti, strategie di intervento ipotizzate/attuate, criteri di valutazione ed esiti finali conseguiti.</w:t>
            </w:r>
          </w:p>
          <w:p w:rsidR="00000000" w:rsidDel="00000000" w:rsidP="00000000" w:rsidRDefault="00000000" w:rsidRPr="00000000" w14:paraId="00000157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C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Cooperare con altre figure professionali coinvolte a vario titolo nei processi di apprendimento e di sviluppo di studenti e studentesse.</w:t>
            </w:r>
          </w:p>
          <w:p w:rsidR="00000000" w:rsidDel="00000000" w:rsidP="00000000" w:rsidRDefault="00000000" w:rsidRPr="00000000" w14:paraId="0000015F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a6a6a6" w:space="0" w:sz="12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000000" w:rsidDel="00000000" w:rsidP="00000000" w:rsidRDefault="00000000" w:rsidRPr="00000000" w14:paraId="00000166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16" w:lineRule="auto"/>
              <w:rPr>
                <w:rFonts w:ascii="Titillium Web" w:cs="Titillium Web" w:eastAsia="Titillium Web" w:hAnsi="Titillium Web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a6a6a6" w:space="0" w:sz="12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6"/>
            <w:shd w:fill="ebf1dd" w:val="clear"/>
            <w:vAlign w:val="center"/>
          </w:tcPr>
          <w:p w:rsidR="00000000" w:rsidDel="00000000" w:rsidP="00000000" w:rsidRDefault="00000000" w:rsidRPr="00000000" w14:paraId="0000016A">
            <w:pPr>
              <w:ind w:left="-113" w:right="-119" w:firstLine="0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000000"/>
                <w:sz w:val="28"/>
                <w:szCs w:val="28"/>
                <w:rtl w:val="0"/>
              </w:rPr>
              <w:t xml:space="preserve">C - PROFESSIONE</w:t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rFonts w:ascii="Titillium Web" w:cs="Titillium Web" w:eastAsia="Titillium Web" w:hAnsi="Titillium Web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i w:val="1"/>
                <w:color w:val="000000"/>
                <w:rtl w:val="0"/>
              </w:rPr>
              <w:t xml:space="preserve">Area della formazione continua, della cura della professionalità e dello sviluppo di nuove responsabilità</w:t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8"/>
                <w:szCs w:val="8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0173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17365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hd w:fill="e5dfec" w:val="clear"/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32"/>
                <w:szCs w:val="32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rtl w:val="0"/>
              </w:rPr>
              <w:t xml:space="preserve">Standard minimo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hd w:fill="e5dfec" w:val="clear"/>
              <w:spacing w:line="180" w:lineRule="auto"/>
              <w:jc w:val="center"/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f497a"/>
                <w:sz w:val="40"/>
                <w:szCs w:val="4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76">
            <w:pPr>
              <w:shd w:fill="e5dfec" w:val="clear"/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Impegnarsi</w:t>
            </w:r>
          </w:p>
          <w:p w:rsidR="00000000" w:rsidDel="00000000" w:rsidP="00000000" w:rsidRDefault="00000000" w:rsidRPr="00000000" w14:paraId="00000178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nella formazione continua</w:t>
            </w:r>
          </w:p>
          <w:p w:rsidR="00000000" w:rsidDel="00000000" w:rsidP="00000000" w:rsidRDefault="00000000" w:rsidRPr="00000000" w14:paraId="00000179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nello sviluppo professionale, integrando i nuclei basilari dei saperi</w:t>
            </w:r>
          </w:p>
          <w:p w:rsidR="00000000" w:rsidDel="00000000" w:rsidP="00000000" w:rsidRDefault="00000000" w:rsidRPr="00000000" w14:paraId="0000017A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della didattica specifici per i propri insegnamenti,</w:t>
            </w:r>
          </w:p>
          <w:p w:rsidR="00000000" w:rsidDel="00000000" w:rsidP="00000000" w:rsidRDefault="00000000" w:rsidRPr="00000000" w14:paraId="0000017B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con la capacità</w:t>
            </w:r>
          </w:p>
          <w:p w:rsidR="00000000" w:rsidDel="00000000" w:rsidP="00000000" w:rsidRDefault="00000000" w:rsidRPr="00000000" w14:paraId="0000017C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di progettare didatticamente e gestire con flessibilità gruppi-classe/interclasse</w:t>
            </w:r>
          </w:p>
          <w:p w:rsidR="00000000" w:rsidDel="00000000" w:rsidP="00000000" w:rsidRDefault="00000000" w:rsidRPr="00000000" w14:paraId="0000017D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per la personalizzazione e valorizzazione</w:t>
            </w:r>
          </w:p>
          <w:p w:rsidR="00000000" w:rsidDel="00000000" w:rsidP="00000000" w:rsidRDefault="00000000" w:rsidRPr="00000000" w14:paraId="0000017E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dei talenti e lo sviluppo di competenze trasversali</w:t>
            </w:r>
          </w:p>
          <w:p w:rsidR="00000000" w:rsidDel="00000000" w:rsidP="00000000" w:rsidRDefault="00000000" w:rsidRPr="00000000" w14:paraId="0000017F">
            <w:pPr>
              <w:shd w:fill="e5dfec" w:val="clear"/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b w:val="1"/>
                <w:color w:val="595959"/>
                <w:rtl w:val="0"/>
              </w:rPr>
              <w:t xml:space="preserve">e comunicative</w:t>
            </w:r>
          </w:p>
          <w:p w:rsidR="00000000" w:rsidDel="00000000" w:rsidP="00000000" w:rsidRDefault="00000000" w:rsidRPr="00000000" w14:paraId="00000180">
            <w:pPr>
              <w:shd w:fill="e5dfec" w:val="clear"/>
              <w:spacing w:line="216" w:lineRule="auto"/>
              <w:rPr>
                <w:rFonts w:ascii="Titillium Web" w:cs="Titillium Web" w:eastAsia="Titillium Web" w:hAnsi="Titillium Web"/>
                <w:b w:val="1"/>
                <w:color w:val="59595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16" w:lineRule="auto"/>
              <w:jc w:val="center"/>
              <w:rPr>
                <w:rFonts w:ascii="Titillium Web" w:cs="Titillium Web" w:eastAsia="Titillium Web" w:hAnsi="Titillium Web"/>
                <w:b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2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Partecipare periodicamente ad attività di formazione e di aggiornamento.</w:t>
            </w:r>
          </w:p>
          <w:p w:rsidR="00000000" w:rsidDel="00000000" w:rsidP="00000000" w:rsidRDefault="00000000" w:rsidRPr="00000000" w14:paraId="00000184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Utilizzare fonti culturali diverse per potenziare conoscenze e competenze di insegnamento.</w:t>
            </w:r>
          </w:p>
          <w:p w:rsidR="00000000" w:rsidDel="00000000" w:rsidP="00000000" w:rsidRDefault="00000000" w:rsidRPr="00000000" w14:paraId="0000018C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2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Attivare collaborazioni professionalizzanti tra colleghi/e della propria scuola o di altre istituzioni educative nazionali ed internazionali.</w:t>
            </w:r>
          </w:p>
          <w:p w:rsidR="00000000" w:rsidDel="00000000" w:rsidP="00000000" w:rsidRDefault="00000000" w:rsidRPr="00000000" w14:paraId="00000194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A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Utilizzare le esperienze di crescita professionale per riprogettare l’azione didattica.</w:t>
            </w:r>
          </w:p>
          <w:p w:rsidR="00000000" w:rsidDel="00000000" w:rsidP="00000000" w:rsidRDefault="00000000" w:rsidRPr="00000000" w14:paraId="0000019C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2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Adottare metodologie e prassi frutto della ricerca educativa o derivanti dallo sviluppo di conoscenze e competenze acquisite nel proprio ambito professionale e d’insegnamento.</w:t>
            </w:r>
          </w:p>
          <w:p w:rsidR="00000000" w:rsidDel="00000000" w:rsidP="00000000" w:rsidRDefault="00000000" w:rsidRPr="00000000" w14:paraId="000001A4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A">
            <w:pPr>
              <w:rPr>
                <w:rFonts w:ascii="Titillium Web" w:cs="Titillium Web" w:eastAsia="Titillium Web" w:hAnsi="Titillium Web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192" w:lineRule="auto"/>
              <w:rPr>
                <w:rFonts w:ascii="Titillium Web" w:cs="Titillium Web" w:eastAsia="Titillium Web" w:hAnsi="Titillium Web"/>
                <w:color w:val="000000"/>
              </w:rPr>
            </w:pPr>
            <w:r w:rsidDel="00000000" w:rsidR="00000000" w:rsidRPr="00000000">
              <w:rPr>
                <w:rFonts w:ascii="Titillium Web" w:cs="Titillium Web" w:eastAsia="Titillium Web" w:hAnsi="Titillium Web"/>
                <w:color w:val="000000"/>
                <w:rtl w:val="0"/>
              </w:rPr>
              <w:t xml:space="preserve">Monitorare con metodicità il proprio sviluppo professionale in un’ottica di formazione continua.</w:t>
            </w:r>
          </w:p>
          <w:p w:rsidR="00000000" w:rsidDel="00000000" w:rsidP="00000000" w:rsidRDefault="00000000" w:rsidRPr="00000000" w14:paraId="000001AC">
            <w:pPr>
              <w:rPr>
                <w:rFonts w:ascii="Titillium Web" w:cs="Titillium Web" w:eastAsia="Titillium Web" w:hAnsi="Titillium Web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itillium Web" w:cs="Titillium Web" w:eastAsia="Titillium Web" w:hAnsi="Titillium Web"/>
                <w:color w:val="000000"/>
                <w:shd w:fill="d9e1f2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footerReference r:id="rId13" w:type="first"/>
      <w:pgSz w:h="16840" w:w="11900" w:orient="portrait"/>
      <w:pgMar w:bottom="1134" w:top="142" w:left="1134" w:right="1134" w:header="0" w:footer="92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tillium Web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116320" cy="865505"/>
          <wp:effectExtent b="0" l="0" r="0" t="0"/>
          <wp:docPr descr="Immagine che contiene testo, schermata, Carattere&#10;&#10;Il contenuto generato dall'IA potrebbe non essere corretto." id="3" name="image1.png"/>
          <a:graphic>
            <a:graphicData uri="http://schemas.openxmlformats.org/drawingml/2006/picture">
              <pic:pic>
                <pic:nvPicPr>
                  <pic:cNvPr descr="Immagine che contiene testo, schermata, Carattere&#10;&#10;Il contenuto generato dall'IA potrebbe non essere corret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116320" cy="865505"/>
          <wp:effectExtent b="0" l="0" r="0" t="0"/>
          <wp:docPr descr="Immagine che contiene testo, schermata, Carattere&#10;&#10;Il contenuto generato dall'IA potrebbe non essere corretto." id="2" name="image1.png"/>
          <a:graphic>
            <a:graphicData uri="http://schemas.openxmlformats.org/drawingml/2006/picture">
              <pic:pic>
                <pic:nvPicPr>
                  <pic:cNvPr descr="Immagine che contiene testo, schermata, Carattere&#10;&#10;Il contenuto generato dall'IA potrebbe non essere corret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116320" cy="872490"/>
          <wp:effectExtent b="0" l="0" r="0" t="0"/>
          <wp:docPr descr="Immagine che contiene testo, Carattere, schermata, linea&#10;&#10;Il contenuto generato dall'IA potrebbe non essere corretto." id="6" name="image6.png"/>
          <a:graphic>
            <a:graphicData uri="http://schemas.openxmlformats.org/drawingml/2006/picture">
              <pic:pic>
                <pic:nvPicPr>
                  <pic:cNvPr descr="Immagine che contiene testo, Carattere, schermata, linea&#10;&#10;Il contenuto generato dall'IA potrebbe non essere corretto."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488.1pt;height:788.1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